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4069" w:rsidRPr="007714D3" w:rsidRDefault="006D4069" w:rsidP="007714D3">
      <w:pPr>
        <w:spacing w:before="100" w:beforeAutospacing="1" w:after="100" w:afterAutospacing="1" w:line="240" w:lineRule="auto"/>
        <w:jc w:val="both"/>
        <w:outlineLvl w:val="0"/>
        <w:rPr>
          <w:rFonts w:ascii="Arial" w:eastAsia="Times New Roman" w:hAnsi="Arial" w:cs="Arial"/>
          <w:b/>
          <w:bCs/>
          <w:kern w:val="36"/>
          <w:sz w:val="24"/>
          <w:szCs w:val="24"/>
          <w:lang w:eastAsia="es-ES"/>
        </w:rPr>
      </w:pPr>
      <w:r w:rsidRPr="007714D3">
        <w:rPr>
          <w:rFonts w:ascii="Arial" w:eastAsia="Times New Roman" w:hAnsi="Arial" w:cs="Arial"/>
          <w:b/>
          <w:bCs/>
          <w:kern w:val="36"/>
          <w:sz w:val="24"/>
          <w:szCs w:val="24"/>
          <w:lang w:eastAsia="es-ES"/>
        </w:rPr>
        <w:t>Persistencia del conflicto nacional vasco en el Estado español</w:t>
      </w:r>
    </w:p>
    <w:p w:rsidR="006D4069" w:rsidRPr="007714D3" w:rsidRDefault="006D4069" w:rsidP="007714D3">
      <w:pPr>
        <w:spacing w:after="0" w:line="240" w:lineRule="auto"/>
        <w:jc w:val="both"/>
        <w:rPr>
          <w:rFonts w:ascii="Arial" w:eastAsia="Times New Roman" w:hAnsi="Arial" w:cs="Arial"/>
          <w:sz w:val="24"/>
          <w:szCs w:val="24"/>
          <w:lang w:eastAsia="es-ES"/>
        </w:rPr>
      </w:pPr>
      <w:r w:rsidRPr="007714D3">
        <w:rPr>
          <w:rFonts w:ascii="Arial" w:eastAsia="Times New Roman" w:hAnsi="Arial" w:cs="Arial"/>
          <w:sz w:val="24"/>
          <w:szCs w:val="24"/>
          <w:lang w:eastAsia="es-ES"/>
        </w:rPr>
        <w:t xml:space="preserve">23 agosto 2018 </w:t>
      </w:r>
    </w:p>
    <w:p w:rsidR="006D4069" w:rsidRPr="007714D3" w:rsidRDefault="006D4069" w:rsidP="007714D3">
      <w:pPr>
        <w:spacing w:before="100" w:beforeAutospacing="1" w:after="100" w:afterAutospacing="1" w:line="240" w:lineRule="auto"/>
        <w:jc w:val="both"/>
        <w:rPr>
          <w:rFonts w:ascii="Arial" w:eastAsia="Times New Roman" w:hAnsi="Arial" w:cs="Arial"/>
          <w:sz w:val="24"/>
          <w:szCs w:val="24"/>
          <w:lang w:eastAsia="es-ES"/>
        </w:rPr>
      </w:pPr>
      <w:r w:rsidRPr="007714D3">
        <w:rPr>
          <w:rFonts w:ascii="Arial" w:eastAsia="Times New Roman" w:hAnsi="Arial" w:cs="Arial"/>
          <w:sz w:val="24"/>
          <w:szCs w:val="24"/>
          <w:lang w:eastAsia="es-ES"/>
        </w:rPr>
        <w:t xml:space="preserve">ETA, acrónimo de Euskadi </w:t>
      </w:r>
      <w:proofErr w:type="spellStart"/>
      <w:r w:rsidRPr="007714D3">
        <w:rPr>
          <w:rFonts w:ascii="Arial" w:eastAsia="Times New Roman" w:hAnsi="Arial" w:cs="Arial"/>
          <w:sz w:val="24"/>
          <w:szCs w:val="24"/>
          <w:lang w:eastAsia="es-ES"/>
        </w:rPr>
        <w:t>ta</w:t>
      </w:r>
      <w:proofErr w:type="spellEnd"/>
      <w:r w:rsidRPr="007714D3">
        <w:rPr>
          <w:rFonts w:ascii="Arial" w:eastAsia="Times New Roman" w:hAnsi="Arial" w:cs="Arial"/>
          <w:sz w:val="24"/>
          <w:szCs w:val="24"/>
          <w:lang w:eastAsia="es-ES"/>
        </w:rPr>
        <w:t xml:space="preserve"> </w:t>
      </w:r>
      <w:proofErr w:type="spellStart"/>
      <w:r w:rsidRPr="007714D3">
        <w:rPr>
          <w:rFonts w:ascii="Arial" w:eastAsia="Times New Roman" w:hAnsi="Arial" w:cs="Arial"/>
          <w:sz w:val="24"/>
          <w:szCs w:val="24"/>
          <w:lang w:eastAsia="es-ES"/>
        </w:rPr>
        <w:t>Askatasuna</w:t>
      </w:r>
      <w:proofErr w:type="spellEnd"/>
      <w:r w:rsidR="00BB17C2">
        <w:rPr>
          <w:rFonts w:ascii="Arial" w:eastAsia="Times New Roman" w:hAnsi="Arial" w:cs="Arial"/>
          <w:sz w:val="24"/>
          <w:szCs w:val="24"/>
          <w:lang w:eastAsia="es-ES"/>
        </w:rPr>
        <w:t xml:space="preserve"> </w:t>
      </w:r>
      <w:r w:rsidRPr="007714D3">
        <w:rPr>
          <w:rFonts w:ascii="Arial" w:eastAsia="Times New Roman" w:hAnsi="Arial" w:cs="Arial"/>
          <w:sz w:val="24"/>
          <w:szCs w:val="24"/>
          <w:lang w:eastAsia="es-ES"/>
        </w:rPr>
        <w:t>(</w:t>
      </w:r>
      <w:proofErr w:type="spellStart"/>
      <w:r w:rsidRPr="007714D3">
        <w:rPr>
          <w:rFonts w:ascii="Arial" w:eastAsia="Times New Roman" w:hAnsi="Arial" w:cs="Arial"/>
          <w:sz w:val="24"/>
          <w:szCs w:val="24"/>
          <w:lang w:eastAsia="es-ES"/>
        </w:rPr>
        <w:t>Pais</w:t>
      </w:r>
      <w:proofErr w:type="spellEnd"/>
      <w:r w:rsidRPr="007714D3">
        <w:rPr>
          <w:rFonts w:ascii="Arial" w:eastAsia="Times New Roman" w:hAnsi="Arial" w:cs="Arial"/>
          <w:sz w:val="24"/>
          <w:szCs w:val="24"/>
          <w:lang w:eastAsia="es-ES"/>
        </w:rPr>
        <w:t xml:space="preserve"> Vasco y Libertad en lengua vasca), la organización autodefinida como “Movimiento Socialista Vasco de Liberación Nacional” que sostenía el objetivo final de un “Estado Socialista Vasco Independiente”, la última organización armada de la izquierda europea, nacida el 31 de julio de 1959, escenificó el pasado 4 de mayo, en la localidad de </w:t>
      </w:r>
      <w:proofErr w:type="spellStart"/>
      <w:r w:rsidRPr="007714D3">
        <w:rPr>
          <w:rFonts w:ascii="Arial" w:eastAsia="Times New Roman" w:hAnsi="Arial" w:cs="Arial"/>
          <w:sz w:val="24"/>
          <w:szCs w:val="24"/>
          <w:lang w:eastAsia="es-ES"/>
        </w:rPr>
        <w:t>Kanbo</w:t>
      </w:r>
      <w:proofErr w:type="spellEnd"/>
      <w:r w:rsidRPr="007714D3">
        <w:rPr>
          <w:rFonts w:ascii="Arial" w:eastAsia="Times New Roman" w:hAnsi="Arial" w:cs="Arial"/>
          <w:sz w:val="24"/>
          <w:szCs w:val="24"/>
          <w:lang w:eastAsia="es-ES"/>
        </w:rPr>
        <w:t>/Cambo-les-</w:t>
      </w:r>
      <w:proofErr w:type="spellStart"/>
      <w:r w:rsidRPr="007714D3">
        <w:rPr>
          <w:rFonts w:ascii="Arial" w:eastAsia="Times New Roman" w:hAnsi="Arial" w:cs="Arial"/>
          <w:sz w:val="24"/>
          <w:szCs w:val="24"/>
          <w:lang w:eastAsia="es-ES"/>
        </w:rPr>
        <w:t>Bains</w:t>
      </w:r>
      <w:proofErr w:type="spellEnd"/>
      <w:r w:rsidRPr="007714D3">
        <w:rPr>
          <w:rFonts w:ascii="Arial" w:eastAsia="Times New Roman" w:hAnsi="Arial" w:cs="Arial"/>
          <w:sz w:val="24"/>
          <w:szCs w:val="24"/>
          <w:lang w:eastAsia="es-ES"/>
        </w:rPr>
        <w:t xml:space="preserve"> (en territorio vasco bajo administración de Francia) la disolución de todas sus estructuras y su desaparición, hecho que había notificado ya en un comunicado previo.</w:t>
      </w:r>
    </w:p>
    <w:p w:rsidR="006D4069" w:rsidRPr="00B44009" w:rsidRDefault="006D4069" w:rsidP="007714D3">
      <w:pPr>
        <w:spacing w:before="100" w:beforeAutospacing="1" w:after="100" w:afterAutospacing="1" w:line="240" w:lineRule="auto"/>
        <w:jc w:val="both"/>
        <w:rPr>
          <w:rFonts w:ascii="Arial" w:eastAsia="Times New Roman" w:hAnsi="Arial" w:cs="Arial"/>
          <w:sz w:val="24"/>
          <w:szCs w:val="24"/>
          <w:lang w:eastAsia="es-ES"/>
        </w:rPr>
      </w:pPr>
      <w:r w:rsidRPr="00B44009">
        <w:rPr>
          <w:rFonts w:ascii="Arial" w:eastAsia="Times New Roman" w:hAnsi="Arial" w:cs="Arial"/>
          <w:sz w:val="24"/>
          <w:szCs w:val="24"/>
          <w:lang w:eastAsia="es-ES"/>
        </w:rPr>
        <w:t xml:space="preserve">Apoyaron el acto numerosas personalidades internacionales, tales como, el ex-jefe del Gabinete de Tony Blair, </w:t>
      </w:r>
      <w:r w:rsidRPr="00B44009">
        <w:rPr>
          <w:rFonts w:ascii="Arial" w:eastAsia="Times New Roman" w:hAnsi="Arial" w:cs="Arial"/>
          <w:bCs/>
          <w:sz w:val="24"/>
          <w:szCs w:val="24"/>
          <w:lang w:eastAsia="es-ES"/>
        </w:rPr>
        <w:t>Jonathan Powell</w:t>
      </w:r>
      <w:r w:rsidRPr="00B44009">
        <w:rPr>
          <w:rFonts w:ascii="Arial" w:eastAsia="Times New Roman" w:hAnsi="Arial" w:cs="Arial"/>
          <w:sz w:val="24"/>
          <w:szCs w:val="24"/>
          <w:lang w:eastAsia="es-ES"/>
        </w:rPr>
        <w:t xml:space="preserve">; el histórico líder del Sinn </w:t>
      </w:r>
      <w:proofErr w:type="spellStart"/>
      <w:r w:rsidRPr="00B44009">
        <w:rPr>
          <w:rFonts w:ascii="Arial" w:eastAsia="Times New Roman" w:hAnsi="Arial" w:cs="Arial"/>
          <w:sz w:val="24"/>
          <w:szCs w:val="24"/>
          <w:lang w:eastAsia="es-ES"/>
        </w:rPr>
        <w:t>Féin</w:t>
      </w:r>
      <w:proofErr w:type="spellEnd"/>
      <w:r w:rsidRPr="00B44009">
        <w:rPr>
          <w:rFonts w:ascii="Arial" w:eastAsia="Times New Roman" w:hAnsi="Arial" w:cs="Arial"/>
          <w:sz w:val="24"/>
          <w:szCs w:val="24"/>
          <w:lang w:eastAsia="es-ES"/>
        </w:rPr>
        <w:t xml:space="preserve">, </w:t>
      </w:r>
      <w:proofErr w:type="spellStart"/>
      <w:r w:rsidRPr="00B44009">
        <w:rPr>
          <w:rFonts w:ascii="Arial" w:eastAsia="Times New Roman" w:hAnsi="Arial" w:cs="Arial"/>
          <w:bCs/>
          <w:sz w:val="24"/>
          <w:szCs w:val="24"/>
          <w:lang w:eastAsia="es-ES"/>
        </w:rPr>
        <w:t>Gerry</w:t>
      </w:r>
      <w:proofErr w:type="spellEnd"/>
      <w:r w:rsidRPr="00B44009">
        <w:rPr>
          <w:rFonts w:ascii="Arial" w:eastAsia="Times New Roman" w:hAnsi="Arial" w:cs="Arial"/>
          <w:bCs/>
          <w:sz w:val="24"/>
          <w:szCs w:val="24"/>
          <w:lang w:eastAsia="es-ES"/>
        </w:rPr>
        <w:t xml:space="preserve"> Adams</w:t>
      </w:r>
      <w:r w:rsidRPr="00B44009">
        <w:rPr>
          <w:rFonts w:ascii="Arial" w:eastAsia="Times New Roman" w:hAnsi="Arial" w:cs="Arial"/>
          <w:sz w:val="24"/>
          <w:szCs w:val="24"/>
          <w:lang w:eastAsia="es-ES"/>
        </w:rPr>
        <w:t xml:space="preserve">; el ex-primer ministro irlandés, </w:t>
      </w:r>
      <w:proofErr w:type="spellStart"/>
      <w:r w:rsidRPr="00B44009">
        <w:rPr>
          <w:rFonts w:ascii="Arial" w:eastAsia="Times New Roman" w:hAnsi="Arial" w:cs="Arial"/>
          <w:bCs/>
          <w:sz w:val="24"/>
          <w:szCs w:val="24"/>
          <w:lang w:eastAsia="es-ES"/>
        </w:rPr>
        <w:t>Berthie</w:t>
      </w:r>
      <w:proofErr w:type="spellEnd"/>
      <w:r w:rsidRPr="00B44009">
        <w:rPr>
          <w:rFonts w:ascii="Arial" w:eastAsia="Times New Roman" w:hAnsi="Arial" w:cs="Arial"/>
          <w:bCs/>
          <w:sz w:val="24"/>
          <w:szCs w:val="24"/>
          <w:lang w:eastAsia="es-ES"/>
        </w:rPr>
        <w:t xml:space="preserve"> Ahern</w:t>
      </w:r>
      <w:r w:rsidRPr="00B44009">
        <w:rPr>
          <w:rFonts w:ascii="Arial" w:eastAsia="Times New Roman" w:hAnsi="Arial" w:cs="Arial"/>
          <w:sz w:val="24"/>
          <w:szCs w:val="24"/>
          <w:lang w:eastAsia="es-ES"/>
        </w:rPr>
        <w:t xml:space="preserve">; el fundador del Partido de la Revolución Democrática (PDR) de México y tres veces candidato a la presidencia del país americano, </w:t>
      </w:r>
      <w:r w:rsidRPr="00B44009">
        <w:rPr>
          <w:rFonts w:ascii="Arial" w:eastAsia="Times New Roman" w:hAnsi="Arial" w:cs="Arial"/>
          <w:bCs/>
          <w:sz w:val="24"/>
          <w:szCs w:val="24"/>
          <w:lang w:eastAsia="es-ES"/>
        </w:rPr>
        <w:t>Cuauhtémoc Cárdenas</w:t>
      </w:r>
      <w:r w:rsidRPr="00B44009">
        <w:rPr>
          <w:rFonts w:ascii="Arial" w:eastAsia="Times New Roman" w:hAnsi="Arial" w:cs="Arial"/>
          <w:sz w:val="24"/>
          <w:szCs w:val="24"/>
          <w:lang w:eastAsia="es-ES"/>
        </w:rPr>
        <w:t xml:space="preserve">; el ex-director gerente del Fondo Monetario Internacional, </w:t>
      </w:r>
      <w:r w:rsidRPr="00B44009">
        <w:rPr>
          <w:rFonts w:ascii="Arial" w:eastAsia="Times New Roman" w:hAnsi="Arial" w:cs="Arial"/>
          <w:bCs/>
          <w:sz w:val="24"/>
          <w:szCs w:val="24"/>
          <w:lang w:eastAsia="es-ES"/>
        </w:rPr>
        <w:t>Michel Camdessus</w:t>
      </w:r>
      <w:r w:rsidRPr="00B44009">
        <w:rPr>
          <w:rFonts w:ascii="Arial" w:eastAsia="Times New Roman" w:hAnsi="Arial" w:cs="Arial"/>
          <w:sz w:val="24"/>
          <w:szCs w:val="24"/>
          <w:lang w:eastAsia="es-ES"/>
        </w:rPr>
        <w:t xml:space="preserve">; el abogado sudafricano y miembro del Grupo Internacional de Contacto (GIC), </w:t>
      </w:r>
      <w:r w:rsidRPr="00B44009">
        <w:rPr>
          <w:rFonts w:ascii="Arial" w:eastAsia="Times New Roman" w:hAnsi="Arial" w:cs="Arial"/>
          <w:bCs/>
          <w:sz w:val="24"/>
          <w:szCs w:val="24"/>
          <w:lang w:eastAsia="es-ES"/>
        </w:rPr>
        <w:t xml:space="preserve">Brian </w:t>
      </w:r>
      <w:proofErr w:type="spellStart"/>
      <w:r w:rsidRPr="00B44009">
        <w:rPr>
          <w:rFonts w:ascii="Arial" w:eastAsia="Times New Roman" w:hAnsi="Arial" w:cs="Arial"/>
          <w:bCs/>
          <w:sz w:val="24"/>
          <w:szCs w:val="24"/>
          <w:lang w:eastAsia="es-ES"/>
        </w:rPr>
        <w:t>Currin</w:t>
      </w:r>
      <w:proofErr w:type="spellEnd"/>
      <w:r w:rsidRPr="00B44009">
        <w:rPr>
          <w:rFonts w:ascii="Arial" w:eastAsia="Times New Roman" w:hAnsi="Arial" w:cs="Arial"/>
          <w:sz w:val="24"/>
          <w:szCs w:val="24"/>
          <w:lang w:eastAsia="es-ES"/>
        </w:rPr>
        <w:t xml:space="preserve">; el ex-director de </w:t>
      </w:r>
      <w:proofErr w:type="spellStart"/>
      <w:r w:rsidRPr="00B44009">
        <w:rPr>
          <w:rFonts w:ascii="Arial" w:eastAsia="Times New Roman" w:hAnsi="Arial" w:cs="Arial"/>
          <w:sz w:val="24"/>
          <w:szCs w:val="24"/>
          <w:lang w:eastAsia="es-ES"/>
        </w:rPr>
        <w:t>Europol</w:t>
      </w:r>
      <w:proofErr w:type="spellEnd"/>
      <w:r w:rsidRPr="00B44009">
        <w:rPr>
          <w:rFonts w:ascii="Arial" w:eastAsia="Times New Roman" w:hAnsi="Arial" w:cs="Arial"/>
          <w:sz w:val="24"/>
          <w:szCs w:val="24"/>
          <w:lang w:eastAsia="es-ES"/>
        </w:rPr>
        <w:t xml:space="preserve"> y miembro, también, del GIC, </w:t>
      </w:r>
      <w:r w:rsidRPr="00B44009">
        <w:rPr>
          <w:rFonts w:ascii="Arial" w:eastAsia="Times New Roman" w:hAnsi="Arial" w:cs="Arial"/>
          <w:bCs/>
          <w:sz w:val="24"/>
          <w:szCs w:val="24"/>
          <w:lang w:eastAsia="es-ES"/>
        </w:rPr>
        <w:t>Raymond Kendall</w:t>
      </w:r>
      <w:r w:rsidRPr="00B44009">
        <w:rPr>
          <w:rFonts w:ascii="Arial" w:eastAsia="Times New Roman" w:hAnsi="Arial" w:cs="Arial"/>
          <w:sz w:val="24"/>
          <w:szCs w:val="24"/>
          <w:lang w:eastAsia="es-ES"/>
        </w:rPr>
        <w:t xml:space="preserve">. Así mismo asistieron delegaciones de partidos políticos, sindicatos y organizaciones sociales vascas. En el acto se aprobó la llamada “Declaración de </w:t>
      </w:r>
      <w:proofErr w:type="spellStart"/>
      <w:r w:rsidRPr="00B44009">
        <w:rPr>
          <w:rFonts w:ascii="Arial" w:eastAsia="Times New Roman" w:hAnsi="Arial" w:cs="Arial"/>
          <w:sz w:val="24"/>
          <w:szCs w:val="24"/>
          <w:lang w:eastAsia="es-ES"/>
        </w:rPr>
        <w:t>Arnaga</w:t>
      </w:r>
      <w:proofErr w:type="spellEnd"/>
      <w:r w:rsidRPr="00B44009">
        <w:rPr>
          <w:rFonts w:ascii="Arial" w:eastAsia="Times New Roman" w:hAnsi="Arial" w:cs="Arial"/>
          <w:sz w:val="24"/>
          <w:szCs w:val="24"/>
          <w:lang w:eastAsia="es-ES"/>
        </w:rPr>
        <w:t>”</w:t>
      </w:r>
    </w:p>
    <w:p w:rsidR="006D4069" w:rsidRPr="007714D3" w:rsidRDefault="006D4069" w:rsidP="007714D3">
      <w:pPr>
        <w:spacing w:before="100" w:beforeAutospacing="1" w:after="100" w:afterAutospacing="1" w:line="240" w:lineRule="auto"/>
        <w:jc w:val="both"/>
        <w:rPr>
          <w:rFonts w:ascii="Arial" w:eastAsia="Times New Roman" w:hAnsi="Arial" w:cs="Arial"/>
          <w:sz w:val="24"/>
          <w:szCs w:val="24"/>
          <w:lang w:eastAsia="es-ES"/>
        </w:rPr>
      </w:pPr>
      <w:r w:rsidRPr="007714D3">
        <w:rPr>
          <w:rFonts w:ascii="Arial" w:eastAsia="Times New Roman" w:hAnsi="Arial" w:cs="Arial"/>
          <w:sz w:val="24"/>
          <w:szCs w:val="24"/>
          <w:lang w:eastAsia="es-ES"/>
        </w:rPr>
        <w:t xml:space="preserve">Previamente, en febrero de 2011, con Brian </w:t>
      </w:r>
      <w:proofErr w:type="spellStart"/>
      <w:r w:rsidRPr="007714D3">
        <w:rPr>
          <w:rFonts w:ascii="Arial" w:eastAsia="Times New Roman" w:hAnsi="Arial" w:cs="Arial"/>
          <w:sz w:val="24"/>
          <w:szCs w:val="24"/>
          <w:lang w:eastAsia="es-ES"/>
        </w:rPr>
        <w:t>Currin</w:t>
      </w:r>
      <w:proofErr w:type="spellEnd"/>
      <w:r w:rsidRPr="007714D3">
        <w:rPr>
          <w:rFonts w:ascii="Arial" w:eastAsia="Times New Roman" w:hAnsi="Arial" w:cs="Arial"/>
          <w:sz w:val="24"/>
          <w:szCs w:val="24"/>
          <w:lang w:eastAsia="es-ES"/>
        </w:rPr>
        <w:t xml:space="preserve"> al frente, se constituyó el citado GIC  para favorecer un proceso de paz. El 20 de octubre de 2011, ETA comunicó el final de su actividad armada, tres días después de que así lo solicitara una Conferencia Internacional por la Paz en el País Vasco, y el 8 de abril de 2017 desmanteló sus depósitos de armas con datos de localización que fueron veri</w:t>
      </w:r>
      <w:r w:rsidR="00D25EC9">
        <w:rPr>
          <w:rFonts w:ascii="Arial" w:eastAsia="Times New Roman" w:hAnsi="Arial" w:cs="Arial"/>
          <w:sz w:val="24"/>
          <w:szCs w:val="24"/>
          <w:lang w:eastAsia="es-ES"/>
        </w:rPr>
        <w:t>ficados por la policía francesa.</w:t>
      </w:r>
    </w:p>
    <w:p w:rsidR="006D4069" w:rsidRPr="007714D3" w:rsidRDefault="006D4069" w:rsidP="007714D3">
      <w:pPr>
        <w:spacing w:before="100" w:beforeAutospacing="1" w:after="100" w:afterAutospacing="1" w:line="240" w:lineRule="auto"/>
        <w:jc w:val="both"/>
        <w:rPr>
          <w:rFonts w:ascii="Arial" w:eastAsia="Times New Roman" w:hAnsi="Arial" w:cs="Arial"/>
          <w:sz w:val="24"/>
          <w:szCs w:val="24"/>
          <w:lang w:eastAsia="es-ES"/>
        </w:rPr>
      </w:pPr>
      <w:r w:rsidRPr="007714D3">
        <w:rPr>
          <w:rFonts w:ascii="Arial" w:eastAsia="Times New Roman" w:hAnsi="Arial" w:cs="Arial"/>
          <w:sz w:val="24"/>
          <w:szCs w:val="24"/>
          <w:lang w:eastAsia="es-ES"/>
        </w:rPr>
        <w:t>El primer atentado mortal de ETA se produjo el 2 de agosto de 1968, contra un jefe de la policía franquista en el País Vasco, después de que el 7 de junio del mismo año cayera el primer militante muerto de ETA, en una cadena de enfrentamientos con la policía española en la que, previamente, se produjo la muerte de un policía. Desde entonces hasta ese 20 de octubre de 2011, la actividad armada de la izquierda nacionalista produjo 837 personas muertas y entre 2.600 y 2.635 heridas, a las que deben añadirse unos 4.500 actos de violencia callejera producidos a partir del año 1993 y miles de casos de extorsión económica a empresarios (en ocasiones tras un secuestro de los mismos). Por su parte deben contabilizarse 94 personas muertas y 746 heridas por las fuerzas de seguridad del Estado, además de 73 personas muertas y 426 heridas por fuerzas parapoliciales, a lo que debe añadirse, para el mismo periodo, la denuncia, fehacientemente documentada, de 4.113 casos de torturas en comisarías de la policía que, como todos los expertos reconocen, son sólo una pequeña parte de las miles y miles que se produjeron.</w:t>
      </w:r>
    </w:p>
    <w:p w:rsidR="006D4069" w:rsidRPr="007714D3" w:rsidRDefault="006D4069" w:rsidP="007714D3">
      <w:pPr>
        <w:spacing w:before="100" w:beforeAutospacing="1" w:after="100" w:afterAutospacing="1" w:line="240" w:lineRule="auto"/>
        <w:jc w:val="both"/>
        <w:rPr>
          <w:rFonts w:ascii="Arial" w:eastAsia="Times New Roman" w:hAnsi="Arial" w:cs="Arial"/>
          <w:sz w:val="24"/>
          <w:szCs w:val="24"/>
          <w:lang w:eastAsia="es-ES"/>
        </w:rPr>
      </w:pPr>
      <w:r w:rsidRPr="007714D3">
        <w:rPr>
          <w:rFonts w:ascii="Arial" w:eastAsia="Times New Roman" w:hAnsi="Arial" w:cs="Arial"/>
          <w:sz w:val="24"/>
          <w:szCs w:val="24"/>
          <w:lang w:eastAsia="es-ES"/>
        </w:rPr>
        <w:lastRenderedPageBreak/>
        <w:t xml:space="preserve">Que el </w:t>
      </w:r>
      <w:r w:rsidRPr="007714D3">
        <w:rPr>
          <w:rFonts w:ascii="Arial" w:eastAsia="Times New Roman" w:hAnsi="Arial" w:cs="Arial"/>
          <w:i/>
          <w:iCs/>
          <w:sz w:val="24"/>
          <w:szCs w:val="24"/>
          <w:lang w:eastAsia="es-ES"/>
        </w:rPr>
        <w:t xml:space="preserve">ciclo de ETA </w:t>
      </w:r>
      <w:r w:rsidRPr="007714D3">
        <w:rPr>
          <w:rFonts w:ascii="Arial" w:eastAsia="Times New Roman" w:hAnsi="Arial" w:cs="Arial"/>
          <w:sz w:val="24"/>
          <w:szCs w:val="24"/>
          <w:lang w:eastAsia="es-ES"/>
        </w:rPr>
        <w:t xml:space="preserve">haya finalizado es, pues, un hecho muy relevante en la historia del movimiento nacionalista vasco. Pero las reivindicaciones nacionalistas vascas tienen un pasado muy anterior y un largo futuro. El </w:t>
      </w:r>
      <w:r w:rsidRPr="007714D3">
        <w:rPr>
          <w:rFonts w:ascii="Arial" w:eastAsia="Times New Roman" w:hAnsi="Arial" w:cs="Arial"/>
          <w:i/>
          <w:iCs/>
          <w:sz w:val="24"/>
          <w:szCs w:val="24"/>
          <w:lang w:eastAsia="es-ES"/>
        </w:rPr>
        <w:t xml:space="preserve">ciclo de ETA </w:t>
      </w:r>
      <w:r w:rsidRPr="007714D3">
        <w:rPr>
          <w:rFonts w:ascii="Arial" w:eastAsia="Times New Roman" w:hAnsi="Arial" w:cs="Arial"/>
          <w:sz w:val="24"/>
          <w:szCs w:val="24"/>
          <w:lang w:eastAsia="es-ES"/>
        </w:rPr>
        <w:t>debe interpretarse, pues, en ese contexto histórico.</w:t>
      </w:r>
    </w:p>
    <w:bookmarkStart w:id="0" w:name="_GoBack"/>
    <w:bookmarkEnd w:id="0"/>
    <w:p w:rsidR="00E62425" w:rsidRDefault="008E6286" w:rsidP="007714D3">
      <w:pPr>
        <w:jc w:val="both"/>
      </w:pPr>
      <w:r w:rsidRPr="007714D3">
        <w:rPr>
          <w:rFonts w:ascii="Arial" w:hAnsi="Arial" w:cs="Arial"/>
          <w:sz w:val="24"/>
          <w:szCs w:val="24"/>
        </w:rPr>
        <w:fldChar w:fldCharType="begin"/>
      </w:r>
      <w:r w:rsidRPr="007714D3">
        <w:rPr>
          <w:rFonts w:ascii="Arial" w:hAnsi="Arial" w:cs="Arial"/>
          <w:sz w:val="24"/>
          <w:szCs w:val="24"/>
        </w:rPr>
        <w:instrText xml:space="preserve"> HYPERLINK "https://vientosur.info/persistencia-del-conflicto-nacional-vasco-en-el-estado-espanol/" </w:instrText>
      </w:r>
      <w:r w:rsidRPr="007714D3">
        <w:rPr>
          <w:rFonts w:ascii="Arial" w:hAnsi="Arial" w:cs="Arial"/>
          <w:sz w:val="24"/>
          <w:szCs w:val="24"/>
        </w:rPr>
        <w:fldChar w:fldCharType="separate"/>
      </w:r>
      <w:r w:rsidR="006D4069" w:rsidRPr="007714D3">
        <w:rPr>
          <w:rStyle w:val="Hipervnculo"/>
          <w:rFonts w:ascii="Arial" w:hAnsi="Arial" w:cs="Arial"/>
          <w:sz w:val="24"/>
          <w:szCs w:val="24"/>
        </w:rPr>
        <w:t>https://vientosur.info/persistencia-del-conflicto-nacional-vasco-en-el-estado-espanol/</w:t>
      </w:r>
      <w:r w:rsidRPr="007714D3">
        <w:rPr>
          <w:rStyle w:val="Hipervnculo"/>
          <w:rFonts w:ascii="Arial" w:hAnsi="Arial" w:cs="Arial"/>
          <w:sz w:val="24"/>
          <w:szCs w:val="24"/>
        </w:rPr>
        <w:fldChar w:fldCharType="end"/>
      </w:r>
      <w:r w:rsidR="006D4069">
        <w:t xml:space="preserve"> </w:t>
      </w:r>
    </w:p>
    <w:sectPr w:rsidR="00E62425"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A99"/>
    <w:rsid w:val="000A7028"/>
    <w:rsid w:val="00135367"/>
    <w:rsid w:val="001B4A99"/>
    <w:rsid w:val="00314454"/>
    <w:rsid w:val="00440365"/>
    <w:rsid w:val="006D4069"/>
    <w:rsid w:val="007714D3"/>
    <w:rsid w:val="008E6286"/>
    <w:rsid w:val="00B44009"/>
    <w:rsid w:val="00BB17C2"/>
    <w:rsid w:val="00BB2368"/>
    <w:rsid w:val="00D25EC9"/>
    <w:rsid w:val="00E55848"/>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DDA01D-2A5D-4EF0-A958-C9D80BC19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6D406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507045">
      <w:bodyDiv w:val="1"/>
      <w:marLeft w:val="0"/>
      <w:marRight w:val="0"/>
      <w:marTop w:val="0"/>
      <w:marBottom w:val="0"/>
      <w:divBdr>
        <w:top w:val="none" w:sz="0" w:space="0" w:color="auto"/>
        <w:left w:val="none" w:sz="0" w:space="0" w:color="auto"/>
        <w:bottom w:val="none" w:sz="0" w:space="0" w:color="auto"/>
        <w:right w:val="none" w:sz="0" w:space="0" w:color="auto"/>
      </w:divBdr>
      <w:divsChild>
        <w:div w:id="955715839">
          <w:marLeft w:val="0"/>
          <w:marRight w:val="0"/>
          <w:marTop w:val="0"/>
          <w:marBottom w:val="0"/>
          <w:divBdr>
            <w:top w:val="none" w:sz="0" w:space="0" w:color="auto"/>
            <w:left w:val="none" w:sz="0" w:space="0" w:color="auto"/>
            <w:bottom w:val="none" w:sz="0" w:space="0" w:color="auto"/>
            <w:right w:val="none" w:sz="0" w:space="0" w:color="auto"/>
          </w:divBdr>
          <w:divsChild>
            <w:div w:id="1301955506">
              <w:marLeft w:val="0"/>
              <w:marRight w:val="0"/>
              <w:marTop w:val="0"/>
              <w:marBottom w:val="0"/>
              <w:divBdr>
                <w:top w:val="none" w:sz="0" w:space="0" w:color="auto"/>
                <w:left w:val="none" w:sz="0" w:space="0" w:color="auto"/>
                <w:bottom w:val="none" w:sz="0" w:space="0" w:color="auto"/>
                <w:right w:val="none" w:sz="0" w:space="0" w:color="auto"/>
              </w:divBdr>
            </w:div>
            <w:div w:id="28292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1491">
      <w:bodyDiv w:val="1"/>
      <w:marLeft w:val="0"/>
      <w:marRight w:val="0"/>
      <w:marTop w:val="0"/>
      <w:marBottom w:val="0"/>
      <w:divBdr>
        <w:top w:val="none" w:sz="0" w:space="0" w:color="auto"/>
        <w:left w:val="none" w:sz="0" w:space="0" w:color="auto"/>
        <w:bottom w:val="none" w:sz="0" w:space="0" w:color="auto"/>
        <w:right w:val="none" w:sz="0" w:space="0" w:color="auto"/>
      </w:divBdr>
      <w:divsChild>
        <w:div w:id="1537304953">
          <w:marLeft w:val="0"/>
          <w:marRight w:val="0"/>
          <w:marTop w:val="0"/>
          <w:marBottom w:val="0"/>
          <w:divBdr>
            <w:top w:val="none" w:sz="0" w:space="0" w:color="auto"/>
            <w:left w:val="none" w:sz="0" w:space="0" w:color="auto"/>
            <w:bottom w:val="none" w:sz="0" w:space="0" w:color="auto"/>
            <w:right w:val="none" w:sz="0" w:space="0" w:color="auto"/>
          </w:divBdr>
        </w:div>
        <w:div w:id="19833878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528</Words>
  <Characters>2910</Characters>
  <Application>Microsoft Office Word</Application>
  <DocSecurity>0</DocSecurity>
  <Lines>24</Lines>
  <Paragraphs>6</Paragraphs>
  <ScaleCrop>false</ScaleCrop>
  <Company/>
  <LinksUpToDate>false</LinksUpToDate>
  <CharactersWithSpaces>3432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13</cp:revision>
  <dcterms:created xsi:type="dcterms:W3CDTF">2020-10-05T14:06:00Z</dcterms:created>
  <dcterms:modified xsi:type="dcterms:W3CDTF">2019-10-13T22:37:00Z</dcterms:modified>
</cp:coreProperties>
</file>